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souladu s ustanovením § 35 odst. 2 písm. k) zákona č. 129/2000 Sb., o krajích, ve znění pozdějších předpisů vydává Zastupitelstvo Karlovarského kraje svým rozhodnutím č. ZK ….. ze dne …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ZŘIZOVACÍ LISTINU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ustanovení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Zřizovatel: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Název:                    Karlovarský kraj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Sídlo:                      Závodní 353/88, 360 06 Karlovy Vary-Dvory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                        70891168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Název:                    Institut lázeňství a balneologie, v.v.i. (dále jen „ILB, v.v.i.“)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Sídlo:                      Karlovy Vary, Závodní 353/88, 360 06 Karlovy Vary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Doba, na kterou je organizace zřízena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ILB, v.v.i., je zřízena na dobu neurčitou.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Účel a cíle zřízení organizace, předmět činnosti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ILB, v.v.i., je zřízena jako veřejně výzkumná instituce se specializovanou činností v oblasti balneologie, lázeňství, geologie a příbuzných oborech a zároveň jako výzkumná organizace, organizace pro výzkum a šíření znalostí, ve smyslu právních předpisů EU v oblasti veřejné podpory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Cílem a účelem zřízení ILB, v.v.i., je provádět nezávisle výzkum a vývoj a veřejně šířit výsledky těchto činností formou výuky, publikací a transferu znalostí, a provádět výzkumnou infrastrukturu, a tu dále budovat, provozovat, udržovat a rozvíjet.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Činnosti ILB, v.v.i., budou prováděny v rámci regionu, České republiky i zahraničí.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Předmětem hlavní činnosti ILB, v.v.i., jsou zejména: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Výzkum a vývoj v oblastech lázeňství, balneologie, geologie, hydrogeologie, balneomedicíny, balneotechniky, společenskovědních a ekonomických a s nimi související mezioborovou spoluprací.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Propagace výsledků výzkumu a zpracování odborných studií, které mají charakter výzkumu.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Spolupráce s výzkumnými institucemi, odbornými pracovišti, vysokými školami a dalšími organizacemi a společnostmi v oblasti výzkumu a vývoje v lázeňství a balneologii.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Zkoumání nových možností regionálního rozvoje s využitím potenciálu přírodních léčivých zdrojů a následná koordinace možností rozvoje území.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Další a jiné činnosti a jejich předmět, podmínky a rozsah, 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činností, které nejsou výzkumem nebo jeho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infrastrukturou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Předmětem další činnosti  ILB, v.v.i., jsou zejména: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Poradenská, odborně posudková a informační činnost v oblasti balneologie, lázeňství, hydrogeologie, přírodních léčivých zdrojů, v oblasti společenskovědní a příbuzných oborů.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Vzdělávací a školící činnost v oblasti balneologie, lázeňství, hydrogeologie, přírodních léčivých zdrojů a příbuzných oborů.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Podpora aktivit za účelem zařazení balneologie a lázeňství do vzdělávacího systému a koordinace aktivit za účelem vzniku vysoké školy nebo pobočky vysoké školy se zaměřením na lázeňství a balneologii.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Publikační činnost v oblasti balneologie, lázeňství, hydrogeologie, přírodních léčivých zdrojů, v oblasti společenskovědní a příbuzných oborů.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Předmětem jiné činnosti  ILB, v.v.i., jsou zejména: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Certifikace lázeňských provozů včetně evropské certifikace.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Poradenská, odborně posudková a informační činnost v oblasti balneologie, lázeňství, hydrogeologie, přírodních léčivých zdrojů, v oblasti společenskovědní a příbuzných oborů.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Vzdělávací a školící činnost v oblasti balneologie, lázeňství, hydrogeologie, přírodních léčivých zdrojů a příbuzných oborů.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Výkon dalších a jiných činností ILB, v.v.i. se řídí zákonem č. 341/2005 Sb., o veřejných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výzkumných institucích.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Výkon hospodářských činností, využití výzkumné infrastruktury pro hospodářské činnosti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ILB, v.v.i., se ve své činnosti zaměřuje téměř výhradně pro výkon nehospodářských činností a výzkumná infrastruktura ILB, v.v.i., je využívána téměř výhradně pro výkon nehospodářských činností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ILB, v.v.i. Na všech nezbytných úrovních jsou sledovány kapacity přidělené na realizaci hospodářských činností a je zajištěno, že pro hospodářské činnosti budou zásadně využívány identické vstupy a kapacity přidělené na realizaci hospodářských činností na sledovaných celcích ročně nepřesáhnou 20% celkové kapacity sledovaných celků.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Podrobnější úpravu ve vztahu k ustanovením tohoto článku, jakož i pravidla pro ochranu a nakládání s předměty práv duševního vlastnictví, transferu znalostí a účinnou výzkumnou spolupráci stanoví vnitřní předpisy ILB, v.v.i.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Vymezení majetku, který je vkládán do veřejné výzkumné instituce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Vymezení majetku je přílohou č. 1, která je nedílnou součástí této zřizovací listiny.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Stanovení základní organizační struktury veřejné výzkumné instituce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Statutárním orgánem ILB, v.v.i., je ředitel.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Rada ILB, v.v.i., je pětičlenná a skládá se z předsedy, místopředsedy a dalších členů rady ústavu.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Dozorčím orgánem je dozorčí rada. Dozorčí rada má 5 členů.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Základními organizačními jednotkami ILB, v.v.i., jsou vědecká oddělení a laboratoře, jejichž úkolem je výzkum a vývoj, a servisní oddělení, jejichž úkolem je zajišťování infrastruktury.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Příloha: Vymezení majetku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Zřizovací listina je v tomto znění účinná od …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Karlových Varech dne …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Mgr. Jana Mračková Vildumetzová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hejtmanka Karlovarského kraje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8" w:w="11906"/>
      <w:pgMar w:bottom="1276" w:top="1134" w:left="1418" w:right="1418" w:header="902" w:footer="7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  <w:font w:name="Arial Black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left" w:pos="4140"/>
        <w:tab w:val="right" w:pos="9180"/>
      </w:tabs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76200</wp:posOffset>
              </wp:positionV>
              <wp:extent cx="5899785" cy="127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6108" y="378000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76200</wp:posOffset>
              </wp:positionV>
              <wp:extent cx="5899785" cy="12700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7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tabs>
        <w:tab w:val="left" w:pos="4140"/>
        <w:tab w:val="right" w:pos="9180"/>
      </w:tabs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Sídlo:</w:t>
    </w:r>
    <w:r w:rsidDel="00000000" w:rsidR="00000000" w:rsidRPr="00000000">
      <w:rPr>
        <w:sz w:val="16"/>
        <w:szCs w:val="16"/>
        <w:rtl w:val="0"/>
      </w:rPr>
      <w:t xml:space="preserve"> Závodní 353/88, 360 06  Karlovy Vary-Dvory, Česká republika, </w:t>
    </w:r>
    <w:r w:rsidDel="00000000" w:rsidR="00000000" w:rsidRPr="00000000">
      <w:rPr>
        <w:b w:val="1"/>
        <w:sz w:val="16"/>
        <w:szCs w:val="16"/>
        <w:rtl w:val="0"/>
      </w:rPr>
      <w:t xml:space="preserve">IČO:</w:t>
    </w:r>
    <w:r w:rsidDel="00000000" w:rsidR="00000000" w:rsidRPr="00000000">
      <w:rPr>
        <w:sz w:val="16"/>
        <w:szCs w:val="16"/>
        <w:rtl w:val="0"/>
      </w:rPr>
      <w:t xml:space="preserve"> 70891168, </w:t>
    </w:r>
    <w:r w:rsidDel="00000000" w:rsidR="00000000" w:rsidRPr="00000000">
      <w:rPr>
        <w:b w:val="1"/>
        <w:sz w:val="16"/>
        <w:szCs w:val="16"/>
        <w:rtl w:val="0"/>
      </w:rPr>
      <w:t xml:space="preserve">DIČ:</w:t>
    </w:r>
    <w:r w:rsidDel="00000000" w:rsidR="00000000" w:rsidRPr="00000000">
      <w:rPr>
        <w:sz w:val="16"/>
        <w:szCs w:val="16"/>
        <w:rtl w:val="0"/>
      </w:rPr>
      <w:t xml:space="preserve"> CZ70891168, </w:t>
    </w:r>
  </w:p>
  <w:p w:rsidR="00000000" w:rsidDel="00000000" w:rsidP="00000000" w:rsidRDefault="00000000" w:rsidRPr="00000000" w14:paraId="00000077">
    <w:pPr>
      <w:tabs>
        <w:tab w:val="left" w:pos="4140"/>
        <w:tab w:val="right" w:pos="9180"/>
      </w:tabs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tel.:</w:t>
    </w:r>
    <w:r w:rsidDel="00000000" w:rsidR="00000000" w:rsidRPr="00000000">
      <w:rPr>
        <w:sz w:val="16"/>
        <w:szCs w:val="16"/>
        <w:rtl w:val="0"/>
      </w:rPr>
      <w:t xml:space="preserve"> +420 354 222 111, </w:t>
    </w:r>
    <w:hyperlink r:id="rId3">
      <w:r w:rsidDel="00000000" w:rsidR="00000000" w:rsidRPr="00000000">
        <w:rPr>
          <w:b w:val="1"/>
          <w:color w:val="000000"/>
          <w:sz w:val="16"/>
          <w:szCs w:val="16"/>
          <w:u w:val="none"/>
          <w:rtl w:val="0"/>
        </w:rPr>
        <w:t xml:space="preserve">http://</w:t>
      </w:r>
    </w:hyperlink>
    <w:hyperlink r:id="rId4">
      <w:r w:rsidDel="00000000" w:rsidR="00000000" w:rsidRPr="00000000">
        <w:rPr>
          <w:color w:val="000000"/>
          <w:sz w:val="16"/>
          <w:szCs w:val="16"/>
          <w:u w:val="none"/>
          <w:rtl w:val="0"/>
        </w:rPr>
        <w:t xml:space="preserve">www.kr-karlovarsky.cz</w:t>
      </w:r>
    </w:hyperlink>
    <w:r w:rsidDel="00000000" w:rsidR="00000000" w:rsidRPr="00000000">
      <w:rPr>
        <w:b w:val="1"/>
        <w:sz w:val="16"/>
        <w:szCs w:val="16"/>
        <w:rtl w:val="0"/>
      </w:rPr>
      <w:t xml:space="preserve">,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b w:val="1"/>
        <w:sz w:val="16"/>
        <w:szCs w:val="16"/>
        <w:rtl w:val="0"/>
      </w:rPr>
      <w:t xml:space="preserve">e-mail:</w:t>
    </w:r>
    <w:r w:rsidDel="00000000" w:rsidR="00000000" w:rsidRPr="00000000">
      <w:rPr>
        <w:sz w:val="16"/>
        <w:szCs w:val="16"/>
        <w:rtl w:val="0"/>
      </w:rPr>
      <w:t xml:space="preserve"> </w:t>
    </w:r>
    <w:hyperlink r:id="rId5">
      <w:r w:rsidDel="00000000" w:rsidR="00000000" w:rsidRPr="00000000">
        <w:rPr>
          <w:color w:val="000000"/>
          <w:sz w:val="16"/>
          <w:szCs w:val="16"/>
          <w:u w:val="none"/>
          <w:rtl w:val="0"/>
        </w:rPr>
        <w:t xml:space="preserve">posta@kr-karlovarsky.cz</w:t>
      </w:r>
    </w:hyperlink>
    <w:r w:rsidDel="00000000" w:rsidR="00000000" w:rsidRPr="00000000">
      <w:rPr>
        <w:sz w:val="16"/>
        <w:szCs w:val="16"/>
        <w:rtl w:val="0"/>
      </w:rPr>
      <w:t xml:space="preserve">, </w:t>
    </w:r>
    <w:r w:rsidDel="00000000" w:rsidR="00000000" w:rsidRPr="00000000">
      <w:rPr>
        <w:b w:val="1"/>
        <w:sz w:val="16"/>
        <w:szCs w:val="16"/>
        <w:rtl w:val="0"/>
      </w:rPr>
      <w:t xml:space="preserve">datová schránka:</w:t>
    </w:r>
    <w:r w:rsidDel="00000000" w:rsidR="00000000" w:rsidRPr="00000000">
      <w:rPr>
        <w:sz w:val="16"/>
        <w:szCs w:val="16"/>
        <w:rtl w:val="0"/>
      </w:rPr>
      <w:t xml:space="preserve"> siqbxt2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Zejména čl. 1.3. ee) Sdělení Komise - Rámce pro státní podporu výzkumu, vývoje a inovací (2014/C 198/01) a čl. 2 odst. 83) Nařízení Komise (EU) č. 651/2014, kterým se v souladu s články 107 a 108 Smlouvy prohlašují určité kategorie podpory za slučitelné s vnitřním trhem, jakož i obdobných ustanovení předpisů a dokumentů, které je v budoucnu nahradí</w:t>
      </w:r>
    </w:p>
  </w:footnote>
  <w:footnote w:id="1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Viz zejména čl. 2.1.1. odst. 19 Sdělení Komise - Rámce pro státní podporu výzkumu, vývoje a inovací (2014/C 198/01), případně obdobná ustanovení výkladových dokumentů či právních předpisů, které toto sdělení v budoucnu nahradí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Style w:val="Heading2"/>
      <w:ind w:left="1134" w:firstLine="0"/>
      <w:jc w:val="left"/>
      <w:rPr>
        <w:smallCaps w:val="1"/>
      </w:rPr>
    </w:pPr>
    <w:r w:rsidDel="00000000" w:rsidR="00000000" w:rsidRPr="00000000">
      <w:rPr>
        <w:smallCaps w:val="1"/>
        <w:rtl w:val="0"/>
      </w:rPr>
      <w:t xml:space="preserve">KARLOVARSKÝ KRAJ</w:t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13334</wp:posOffset>
              </wp:positionV>
              <wp:extent cx="627380" cy="639445"/>
              <wp:wrapSquare wrapText="bothSides" distB="0" distT="0" distL="0" distR="0"/>
              <wp:docPr id="2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717" w:rsidDel="00000000" w:rsidP="00BD3717" w:rsidRDefault="00BD3717" w:rsidRPr="00000000" w14:paraId="34944DB4" w14:textId="77777777"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431800" cy="532765"/>
                                <wp:effectExtent b="635" l="0" r="6350" t="0"/>
                                <wp:docPr descr="kraj_znak" id="6" name="Obrázek 6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kraj_znak"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13334</wp:posOffset>
              </wp:positionV>
              <wp:extent cx="627380" cy="639445"/>
              <wp:effectExtent b="0" l="0" r="0" t="0"/>
              <wp:wrapSquare wrapText="bothSides" distB="0" distT="0" distL="0" distR="0"/>
              <wp:docPr id="23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380" cy="639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tabs>
        <w:tab w:val="left" w:pos="7545"/>
      </w:tabs>
      <w:ind w:left="1134" w:firstLine="0"/>
      <w:rPr>
        <w:rFonts w:ascii="Arial Black" w:cs="Arial Black" w:eastAsia="Arial Black" w:hAnsi="Arial Black"/>
        <w:smallCaps w:val="1"/>
        <w:sz w:val="26.666666666666668"/>
        <w:szCs w:val="26.666666666666668"/>
        <w:vertAlign w:val="subscript"/>
      </w:rPr>
    </w:pPr>
    <w:r w:rsidDel="00000000" w:rsidR="00000000" w:rsidRPr="00000000">
      <w:rPr>
        <w:rFonts w:ascii="Arial Black" w:cs="Arial Black" w:eastAsia="Arial Black" w:hAnsi="Arial Black"/>
        <w:smallCaps w:val="1"/>
        <w:sz w:val="36.66666666666667"/>
        <w:szCs w:val="36.66666666666667"/>
        <w:vertAlign w:val="subscript"/>
        <w:rtl w:val="0"/>
      </w:rPr>
      <w:t xml:space="preserve">ZASTUPITELSTVO KRAJE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12700</wp:posOffset>
              </wp:positionV>
              <wp:extent cx="5165090" cy="127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63455" y="3780000"/>
                        <a:ext cx="51650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12700</wp:posOffset>
              </wp:positionV>
              <wp:extent cx="5165090" cy="1270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50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</w:tabs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right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ind w:firstLine="360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paragraph" w:styleId="Nadpis1">
    <w:name w:val="heading 1"/>
    <w:basedOn w:val="Normln"/>
    <w:next w:val="Normln"/>
    <w:qFormat w:val="1"/>
    <w:pPr>
      <w:keepNext w:val="1"/>
      <w:outlineLvl w:val="0"/>
    </w:pPr>
    <w:rPr>
      <w:b w:val="1"/>
      <w:bCs w:val="1"/>
    </w:rPr>
  </w:style>
  <w:style w:type="paragraph" w:styleId="Nadpis2">
    <w:name w:val="heading 2"/>
    <w:basedOn w:val="Normln"/>
    <w:next w:val="Normln"/>
    <w:link w:val="Nadpis2Char"/>
    <w:qFormat w:val="1"/>
    <w:pPr>
      <w:keepNext w:val="1"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 w:val="1"/>
    <w:pPr>
      <w:keepNext w:val="1"/>
      <w:tabs>
        <w:tab w:val="left" w:pos="1440"/>
      </w:tabs>
      <w:outlineLvl w:val="2"/>
    </w:pPr>
    <w:rPr>
      <w:rFonts w:ascii="Arial" w:cs="Arial" w:hAnsi="Arial"/>
      <w:b w:val="1"/>
      <w:bCs w:val="1"/>
      <w:sz w:val="22"/>
    </w:rPr>
  </w:style>
  <w:style w:type="paragraph" w:styleId="Nadpis4">
    <w:name w:val="heading 4"/>
    <w:basedOn w:val="Normln"/>
    <w:next w:val="Normln"/>
    <w:qFormat w:val="1"/>
    <w:pPr>
      <w:keepNext w:val="1"/>
      <w:jc w:val="right"/>
      <w:outlineLvl w:val="3"/>
    </w:pPr>
    <w:rPr>
      <w:b w:val="1"/>
      <w:sz w:val="18"/>
    </w:rPr>
  </w:style>
  <w:style w:type="paragraph" w:styleId="Nadpis5">
    <w:name w:val="heading 5"/>
    <w:basedOn w:val="Normln"/>
    <w:next w:val="Normln"/>
    <w:qFormat w:val="1"/>
    <w:pPr>
      <w:keepNext w:val="1"/>
      <w:outlineLvl w:val="4"/>
    </w:pPr>
    <w:rPr>
      <w:b w:val="1"/>
      <w:sz w:val="18"/>
    </w:rPr>
  </w:style>
  <w:style w:type="paragraph" w:styleId="Nadpis6">
    <w:name w:val="heading 6"/>
    <w:basedOn w:val="Normln"/>
    <w:next w:val="Normln"/>
    <w:qFormat w:val="1"/>
    <w:pPr>
      <w:keepNext w:val="1"/>
      <w:ind w:firstLine="360"/>
      <w:outlineLvl w:val="5"/>
    </w:pPr>
    <w:rPr>
      <w:b w:val="1"/>
      <w:bCs w:val="1"/>
    </w:rPr>
  </w:style>
  <w:style w:type="paragraph" w:styleId="Nadpis7">
    <w:name w:val="heading 7"/>
    <w:basedOn w:val="Normln"/>
    <w:next w:val="Normln"/>
    <w:qFormat w:val="1"/>
    <w:pPr>
      <w:keepNext w:val="1"/>
      <w:outlineLvl w:val="6"/>
    </w:pPr>
    <w:rPr>
      <w:b w:val="1"/>
      <w:bCs w:val="1"/>
      <w:sz w:val="28"/>
    </w:rPr>
  </w:style>
  <w:style w:type="paragraph" w:styleId="Nadpis9">
    <w:name w:val="heading 9"/>
    <w:basedOn w:val="Normln"/>
    <w:next w:val="Normln"/>
    <w:qFormat w:val="1"/>
    <w:pPr>
      <w:keepNext w:val="1"/>
      <w:ind w:left="2124" w:hanging="2124"/>
      <w:outlineLvl w:val="8"/>
    </w:pPr>
    <w:rPr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vrendokumentu" w:customStyle="1">
    <w:name w:val="Rozvržení dokumentu"/>
    <w:basedOn w:val="Normln"/>
    <w:semiHidden w:val="1"/>
    <w:pPr>
      <w:shd w:color="auto" w:fill="000080" w:val="clear"/>
    </w:pPr>
    <w:rPr>
      <w:rFonts w:ascii="Tahoma" w:cs="Tahoma" w:hAnsi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 w:val="1"/>
    <w:rsid w:val="00281125"/>
    <w:rPr>
      <w:rFonts w:ascii="Tahoma" w:cs="Tahoma" w:hAnsi="Tahoma"/>
      <w:sz w:val="16"/>
      <w:szCs w:val="16"/>
    </w:rPr>
  </w:style>
  <w:style w:type="character" w:styleId="Odkaznakoment">
    <w:name w:val="annotation reference"/>
    <w:uiPriority w:val="99"/>
    <w:semiHidden w:val="1"/>
    <w:rsid w:val="00102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 w:val="1"/>
    <w:rsid w:val="001020D6"/>
    <w:rPr>
      <w:b w:val="1"/>
      <w:bCs w:val="1"/>
    </w:rPr>
  </w:style>
  <w:style w:type="character" w:styleId="ZhlavChar" w:customStyle="1">
    <w:name w:val="Záhlaví Char"/>
    <w:link w:val="Zhlav"/>
    <w:rsid w:val="004621B3"/>
    <w:rPr>
      <w:sz w:val="24"/>
      <w:szCs w:val="24"/>
    </w:rPr>
  </w:style>
  <w:style w:type="character" w:styleId="Nadpis2Char" w:customStyle="1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styleId="ZpatChar" w:customStyle="1">
    <w:name w:val="Zápatí Char"/>
    <w:basedOn w:val="Standardnpsmoodstavce"/>
    <w:link w:val="Zpat"/>
    <w:uiPriority w:val="99"/>
    <w:rsid w:val="009057DD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 w:val="1"/>
    <w:rsid w:val="00791CA0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C14D19"/>
    <w:rPr>
      <w:rFonts w:ascii="Calibri" w:eastAsia="SimSun" w:hAnsi="Calibri"/>
      <w:sz w:val="20"/>
      <w:szCs w:val="20"/>
      <w:lang w:eastAsia="x-none" w:val="x-none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C14D19"/>
    <w:rPr>
      <w:rFonts w:ascii="Calibri" w:eastAsia="SimSun" w:hAnsi="Calibri"/>
      <w:lang w:eastAsia="x-none" w:val="x-none"/>
    </w:rPr>
  </w:style>
  <w:style w:type="character" w:styleId="Znakapoznpodarou">
    <w:name w:val="footnote reference"/>
    <w:uiPriority w:val="99"/>
    <w:semiHidden w:val="1"/>
    <w:unhideWhenUsed w:val="1"/>
    <w:rsid w:val="00C14D19"/>
    <w:rPr>
      <w:vertAlign w:val="superscript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C14D19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tyl1" w:customStyle="1">
    <w:name w:val="Styl1"/>
    <w:basedOn w:val="Odstavecseseznamem"/>
    <w:link w:val="Styl1Char"/>
    <w:qFormat w:val="1"/>
    <w:rsid w:val="002F038B"/>
    <w:pPr>
      <w:numPr>
        <w:numId w:val="5"/>
      </w:numPr>
      <w:spacing w:after="200" w:line="276" w:lineRule="auto"/>
      <w:ind w:hanging="578"/>
    </w:pPr>
    <w:rPr>
      <w:rFonts w:ascii="Times New Roman" w:cs="Times New Roman" w:hAnsi="Times New Roman"/>
    </w:rPr>
  </w:style>
  <w:style w:type="paragraph" w:styleId="Styl2" w:customStyle="1">
    <w:name w:val="Styl2"/>
    <w:basedOn w:val="Zhlav"/>
    <w:link w:val="Styl2Char"/>
    <w:qFormat w:val="1"/>
    <w:rsid w:val="002F038B"/>
    <w:pPr>
      <w:numPr>
        <w:numId w:val="7"/>
      </w:numPr>
      <w:tabs>
        <w:tab w:val="clear" w:pos="4536"/>
        <w:tab w:val="clear" w:pos="9072"/>
      </w:tabs>
      <w:jc w:val="both"/>
    </w:pPr>
    <w:rPr>
      <w:sz w:val="22"/>
      <w:szCs w:val="22"/>
    </w:rPr>
  </w:style>
  <w:style w:type="character" w:styleId="Styl1Char" w:customStyle="1">
    <w:name w:val="Styl1 Char"/>
    <w:basedOn w:val="OdstavecseseznamemChar"/>
    <w:link w:val="Styl1"/>
    <w:rsid w:val="002F038B"/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TextkomenteChar" w:customStyle="1">
    <w:name w:val="Text komentáře Char"/>
    <w:link w:val="Textkomente"/>
    <w:uiPriority w:val="99"/>
    <w:semiHidden w:val="1"/>
    <w:rsid w:val="002F038B"/>
  </w:style>
  <w:style w:type="character" w:styleId="Styl2Char" w:customStyle="1">
    <w:name w:val="Styl2 Char"/>
    <w:basedOn w:val="Styl1Char"/>
    <w:link w:val="Styl2"/>
    <w:rsid w:val="002F038B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Black-regular.ttf"/></Relationships>
</file>

<file path=word/_rels/footer2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3" Type="http://schemas.openxmlformats.org/officeDocument/2006/relationships/hyperlink" Target="http://www.kr-karlovarsky.cz" TargetMode="External"/><Relationship Id="rId4" Type="http://schemas.openxmlformats.org/officeDocument/2006/relationships/hyperlink" Target="http://www.kr-karlovarsky.cz" TargetMode="External"/><Relationship Id="rId5" Type="http://schemas.openxmlformats.org/officeDocument/2006/relationships/hyperlink" Target="mailto:posta@kr-karlovarsky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G8j12qmYiHalb9sM6vMo2/gVw==">AMUW2mWuVES0TPNXdYWzHPmzjIYysmCaGHqwzDOIqdrMT79jA1obnTD652AV7jEahAcM1Kf+tVkZyoHJMdI1USPHnRBvlNq3NZOBnrxEMnNJJrzvE+c+7lBQSOiB1P0ra9DJsGR8ft5U6T4UJuKIOpEFb9NWC99MAQ==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2019-02-18T09:27:00Z</dcterms:created>
  <dc:creator>Kolařík Karel</dc:creator>
</cp:coreProperties>
</file>